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rPr>
          <w:b/>
          <w:color w:val="B44C2B"/>
          <w:sz w:val="19"/>
        </w:rPr>
        <w:t>MODIFIABLE REQUEST FOR PROPOSALS (RFP) TEMPLATE  |  VNA-RFP-032</w:t>
      </w:r>
    </w:p>
    <w:p>
      <w:pPr>
        <w:pStyle w:val="Heading1"/>
      </w:pPr>
      <w:r>
        <w:rPr>
          <w:color w:val="261B16"/>
        </w:rPr>
        <w:t>Request for Proposals (RFP): Multi-Unit Restaurant &amp; Retail POS (MICROS / SQL Anywhere) to Oracle 23ai Reconciliation Hub</w:t>
      </w:r>
    </w:p>
    <w:p>
      <w:r>
        <w:rPr>
          <w:sz w:val="20"/>
        </w:rPr>
        <w:t>Instructions for RFP Author: This editable Microsoft Word (.docx) document is structured so your IT, Architecture, and Procurement teams can issue a competitive, apples-to-apples Request for Proposals. Replace all bracketed placeholders ([...]) below with your organization's dates, contacts, and inventory counts.</w:t>
      </w:r>
    </w:p>
    <w:p>
      <w:pPr>
        <w:pStyle w:val="Heading2"/>
      </w:pPr>
      <w:r>
        <w:rPr>
          <w:color w:val="B44C2B"/>
        </w:rPr>
        <w:t>Section 1: Issuing Organization Profile &amp; Procurement Schedule (Editable)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5040"/>
        <w:gridCol w:w="5040"/>
      </w:tblGrid>
      <w:tr>
        <w:tc>
          <w:tcPr>
            <w:tcW w:type="dxa" w:w="5040"/>
            <w:shd w:val="clear" w:color="auto" w:fill="2C1E18"/>
          </w:tcPr>
          <w:p>
            <w:r>
              <w:rPr>
                <w:b/>
                <w:color w:val="FFFFFF"/>
                <w:sz w:val="19"/>
              </w:rPr>
              <w:t>Procurement Milestone / Field</w:t>
            </w:r>
          </w:p>
        </w:tc>
        <w:tc>
          <w:tcPr>
            <w:tcW w:type="dxa" w:w="5040"/>
            <w:shd w:val="clear" w:color="auto" w:fill="2C1E18"/>
          </w:tcPr>
          <w:p>
            <w:r>
              <w:rPr>
                <w:b/>
                <w:color w:val="FFFFFF"/>
                <w:sz w:val="19"/>
              </w:rPr>
              <w:t>Target Date / Entry (Editable)</w:t>
            </w:r>
          </w:p>
        </w:tc>
      </w:tr>
      <w:tr>
        <w:tc>
          <w:tcPr>
            <w:tcW w:type="dxa" w:w="5040"/>
          </w:tcPr>
          <w:p>
            <w:r>
              <w:rPr>
                <w:b/>
              </w:rPr>
              <w:t>Issuing Organization Name</w:t>
            </w:r>
          </w:p>
        </w:tc>
        <w:tc>
          <w:tcPr>
            <w:tcW w:type="dxa" w:w="5040"/>
          </w:tcPr>
          <w:p>
            <w:r>
              <w:t>[Insert Legal Entity / Company Name]</w:t>
            </w:r>
          </w:p>
        </w:tc>
      </w:tr>
      <w:tr>
        <w:tc>
          <w:tcPr>
            <w:tcW w:type="dxa" w:w="5040"/>
          </w:tcPr>
          <w:p>
            <w:r>
              <w:rPr>
                <w:b/>
              </w:rPr>
              <w:t>Executive Sponsor &amp; Procurement Contact</w:t>
            </w:r>
          </w:p>
        </w:tc>
        <w:tc>
          <w:tcPr>
            <w:tcW w:type="dxa" w:w="5040"/>
          </w:tcPr>
          <w:p>
            <w:r>
              <w:t>[Insert Name, Title, Work Email &amp; Phone]</w:t>
            </w:r>
          </w:p>
        </w:tc>
      </w:tr>
      <w:tr>
        <w:tc>
          <w:tcPr>
            <w:tcW w:type="dxa" w:w="5040"/>
          </w:tcPr>
          <w:p>
            <w:r>
              <w:rPr>
                <w:b/>
              </w:rPr>
              <w:t>RFP Reference Code</w:t>
            </w:r>
          </w:p>
        </w:tc>
        <w:tc>
          <w:tcPr>
            <w:tcW w:type="dxa" w:w="5040"/>
          </w:tcPr>
          <w:p>
            <w:r>
              <w:t>VNA-RFP-032 (Companion to Solution Brief VNA-SB-032)</w:t>
            </w:r>
          </w:p>
        </w:tc>
      </w:tr>
      <w:tr>
        <w:tc>
          <w:tcPr>
            <w:tcW w:type="dxa" w:w="5040"/>
          </w:tcPr>
          <w:p>
            <w:r>
              <w:rPr>
                <w:b/>
              </w:rPr>
              <w:t>RFP Issue Date</w:t>
            </w:r>
          </w:p>
        </w:tc>
        <w:tc>
          <w:tcPr>
            <w:tcW w:type="dxa" w:w="5040"/>
          </w:tcPr>
          <w:p>
            <w:r>
              <w:t>[2026-10-30]</w:t>
            </w:r>
          </w:p>
        </w:tc>
      </w:tr>
      <w:tr>
        <w:tc>
          <w:tcPr>
            <w:tcW w:type="dxa" w:w="5040"/>
          </w:tcPr>
          <w:p>
            <w:r>
              <w:rPr>
                <w:b/>
              </w:rPr>
              <w:t>Vendor Written Questions Due</w:t>
            </w:r>
          </w:p>
        </w:tc>
        <w:tc>
          <w:tcPr>
            <w:tcW w:type="dxa" w:w="5040"/>
          </w:tcPr>
          <w:p>
            <w:r>
              <w:t>[Insert Date - Week 2]</w:t>
            </w:r>
          </w:p>
        </w:tc>
      </w:tr>
      <w:tr>
        <w:tc>
          <w:tcPr>
            <w:tcW w:type="dxa" w:w="5040"/>
          </w:tcPr>
          <w:p>
            <w:r>
              <w:rPr>
                <w:b/>
              </w:rPr>
              <w:t>Organization Responses to Vendor Q&amp;A</w:t>
            </w:r>
          </w:p>
        </w:tc>
        <w:tc>
          <w:tcPr>
            <w:tcW w:type="dxa" w:w="5040"/>
          </w:tcPr>
          <w:p>
            <w:r>
              <w:t>[Insert Date - Week 3]</w:t>
            </w:r>
          </w:p>
        </w:tc>
      </w:tr>
      <w:tr>
        <w:tc>
          <w:tcPr>
            <w:tcW w:type="dxa" w:w="5040"/>
          </w:tcPr>
          <w:p>
            <w:r>
              <w:rPr>
                <w:b/>
              </w:rPr>
              <w:t>Final Vendor Proposals &amp; Fixed-Fee Pricing Due</w:t>
            </w:r>
          </w:p>
        </w:tc>
        <w:tc>
          <w:tcPr>
            <w:tcW w:type="dxa" w:w="5040"/>
          </w:tcPr>
          <w:p>
            <w:r>
              <w:t>[Insert Date - Week 4]</w:t>
            </w:r>
          </w:p>
        </w:tc>
      </w:tr>
      <w:tr>
        <w:tc>
          <w:tcPr>
            <w:tcW w:type="dxa" w:w="5040"/>
          </w:tcPr>
          <w:p>
            <w:r>
              <w:rPr>
                <w:b/>
              </w:rPr>
              <w:t>Technical Architecture Demos / Oral Presentations</w:t>
            </w:r>
          </w:p>
        </w:tc>
        <w:tc>
          <w:tcPr>
            <w:tcW w:type="dxa" w:w="5040"/>
          </w:tcPr>
          <w:p>
            <w:r>
              <w:t>[Insert Date - Week 5]</w:t>
            </w:r>
          </w:p>
        </w:tc>
      </w:tr>
      <w:tr>
        <w:tc>
          <w:tcPr>
            <w:tcW w:type="dxa" w:w="5040"/>
          </w:tcPr>
          <w:p>
            <w:r>
              <w:rPr>
                <w:b/>
              </w:rPr>
              <w:t>Target Contract Award &amp; Phase 0 Kickoff</w:t>
            </w:r>
          </w:p>
        </w:tc>
        <w:tc>
          <w:tcPr>
            <w:tcW w:type="dxa" w:w="5040"/>
          </w:tcPr>
          <w:p>
            <w:r>
              <w:t>[Insert Date - Week 6]</w:t>
            </w:r>
          </w:p>
        </w:tc>
      </w:tr>
    </w:tbl>
    <w:p>
      <w:r>
        <w:t>[INSERT COMPANY NAME] ('Organization') is soliciting competitive proposals from qualified enterprise architecture and engineering partners to modernize and transition our current Oracle MICROS / NCR Aloha / SQL Anywhere Edge POS + Nightly Polling Scripts environment to Idempotent Oracle 23ai / 19c POS Sync Engine + ORA-00001 Collision Guard + APEX Cashout Audit.</w:t>
      </w:r>
    </w:p>
    <w:p>
      <w:pPr>
        <w:pStyle w:val="ListBullet"/>
      </w:pPr>
      <w:r>
        <w:t>Critical business operations remain trapped in Oracle MICROS / NCR Aloha / SQL Anywhere Edge POS + Nightly Polling Scripts, creating audit risk, manual reconciliation overhead, and rising support costs.</w:t>
      </w:r>
    </w:p>
    <w:p>
      <w:pPr>
        <w:pStyle w:val="ListBullet"/>
      </w:pPr>
      <w:r>
        <w:t>Duplicate queries, cloned reports, and undocumented triggers make impact analysis slow and expensive across daily pos check &amp; line-item transactions.</w:t>
      </w:r>
    </w:p>
    <w:p>
      <w:pPr>
        <w:pStyle w:val="ListBullet"/>
      </w:pPr>
      <w:r>
        <w:t>Lack of automated binary-to-database metadata mapping causes traditional consulting shops to pad estimates with 40% manual discovery buffers.</w:t>
      </w:r>
    </w:p>
    <w:p>
      <w:pPr>
        <w:pStyle w:val="ListBullet"/>
      </w:pPr>
      <w:r>
        <w:t>Leadership needs a predictable, fixed-fee phased timeline with verifiable test specifications and zero-downtime cutover guarantees.</w:t>
      </w:r>
    </w:p>
    <w:p>
      <w:pPr>
        <w:pStyle w:val="Heading2"/>
      </w:pPr>
      <w:r>
        <w:rPr>
          <w:color w:val="B44C2B"/>
        </w:rPr>
        <w:t>Section 2: Current Environment Baseline Inventory (Editable)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3360"/>
        <w:gridCol w:w="3360"/>
        <w:gridCol w:w="3360"/>
      </w:tblGrid>
      <w:tr>
        <w:tc>
          <w:tcPr>
            <w:tcW w:type="dxa" w:w="3360"/>
            <w:shd w:val="clear" w:color="auto" w:fill="B44C2B"/>
          </w:tcPr>
          <w:p>
            <w:r>
              <w:rPr>
                <w:b/>
                <w:color w:val="FFFFFF"/>
                <w:sz w:val="19"/>
              </w:rPr>
              <w:t>Inventory Dimension</w:t>
            </w:r>
          </w:p>
        </w:tc>
        <w:tc>
          <w:tcPr>
            <w:tcW w:type="dxa" w:w="3360"/>
            <w:shd w:val="clear" w:color="auto" w:fill="B44C2B"/>
          </w:tcPr>
          <w:p>
            <w:r>
              <w:rPr>
                <w:b/>
                <w:color w:val="FFFFFF"/>
                <w:sz w:val="19"/>
              </w:rPr>
              <w:t>Current Baseline Footprint (Editable)</w:t>
            </w:r>
          </w:p>
        </w:tc>
        <w:tc>
          <w:tcPr>
            <w:tcW w:type="dxa" w:w="3360"/>
            <w:shd w:val="clear" w:color="auto" w:fill="B44C2B"/>
          </w:tcPr>
          <w:p>
            <w:r>
              <w:rPr>
                <w:b/>
                <w:color w:val="FFFFFF"/>
                <w:sz w:val="19"/>
              </w:rPr>
              <w:t>Target Modernization SLA / Objective</w:t>
            </w:r>
          </w:p>
        </w:tc>
      </w:tr>
      <w:tr>
        <w:tc>
          <w:tcPr>
            <w:tcW w:type="dxa" w:w="3360"/>
          </w:tcPr>
          <w:p>
            <w:r>
              <w:rPr>
                <w:b/>
              </w:rPr>
              <w:t>Legacy Source Stack (Stack X)</w:t>
            </w:r>
          </w:p>
        </w:tc>
        <w:tc>
          <w:tcPr>
            <w:tcW w:type="dxa" w:w="3360"/>
          </w:tcPr>
          <w:p>
            <w:r>
              <w:t>Oracle MICROS / NCR Aloha / SQL Anywhere Edge POS + Nightly Polling Scripts</w:t>
            </w:r>
          </w:p>
        </w:tc>
        <w:tc>
          <w:tcPr>
            <w:tcW w:type="dxa" w:w="3360"/>
          </w:tcPr>
          <w:p>
            <w:r>
              <w:t>Full retirement / modernization</w:t>
            </w:r>
          </w:p>
        </w:tc>
      </w:tr>
      <w:tr>
        <w:tc>
          <w:tcPr>
            <w:tcW w:type="dxa" w:w="3360"/>
          </w:tcPr>
          <w:p>
            <w:r>
              <w:rPr>
                <w:b/>
              </w:rPr>
              <w:t>Target Architecture (Stack Y)</w:t>
            </w:r>
          </w:p>
        </w:tc>
        <w:tc>
          <w:tcPr>
            <w:tcW w:type="dxa" w:w="3360"/>
          </w:tcPr>
          <w:p>
            <w:r>
              <w:t>Idempotent Oracle 23ai / 19c POS Sync Engine + ORA-00001 Collision Guard + APEX Cashout Audit</w:t>
            </w:r>
          </w:p>
        </w:tc>
        <w:tc>
          <w:tcPr>
            <w:tcW w:type="dxa" w:w="3360"/>
          </w:tcPr>
          <w:p>
            <w:r>
              <w:t>Production HA/DR &amp; security governance</w:t>
            </w:r>
          </w:p>
        </w:tc>
      </w:tr>
      <w:tr>
        <w:tc>
          <w:tcPr>
            <w:tcW w:type="dxa" w:w="3360"/>
          </w:tcPr>
          <w:p>
            <w:r>
              <w:rPr>
                <w:b/>
              </w:rPr>
              <w:t>Active Restaurant / Retail Store Locations</w:t>
            </w:r>
          </w:p>
        </w:tc>
        <w:tc>
          <w:tcPr>
            <w:tcW w:type="dxa" w:w="3360"/>
          </w:tcPr>
          <w:p>
            <w:r>
              <w:t>[Insert Count, e.g., 85 locations]</w:t>
            </w:r>
          </w:p>
        </w:tc>
        <w:tc>
          <w:tcPr>
            <w:tcW w:type="dxa" w:w="3360"/>
          </w:tcPr>
          <w:p>
            <w:r>
              <w:t>100% functional parity &amp; optimization</w:t>
            </w:r>
          </w:p>
        </w:tc>
      </w:tr>
      <w:tr>
        <w:tc>
          <w:tcPr>
            <w:tcW w:type="dxa" w:w="3360"/>
          </w:tcPr>
          <w:p>
            <w:r>
              <w:rPr>
                <w:b/>
              </w:rPr>
              <w:t>Daily POS Check &amp; Line-Item Transactions</w:t>
            </w:r>
          </w:p>
        </w:tc>
        <w:tc>
          <w:tcPr>
            <w:tcW w:type="dxa" w:w="3360"/>
          </w:tcPr>
          <w:p>
            <w:r>
              <w:t>[Insert Count, e.g., 250 K txns/day]</w:t>
            </w:r>
          </w:p>
        </w:tc>
        <w:tc>
          <w:tcPr>
            <w:tcW w:type="dxa" w:w="3360"/>
          </w:tcPr>
          <w:p>
            <w:r>
              <w:t>Automated AST &amp; schema uplift</w:t>
            </w:r>
          </w:p>
        </w:tc>
      </w:tr>
      <w:tr>
        <w:tc>
          <w:tcPr>
            <w:tcW w:type="dxa" w:w="3360"/>
          </w:tcPr>
          <w:p>
            <w:r>
              <w:rPr>
                <w:b/>
              </w:rPr>
              <w:t>Store Report Query Fan-Out Reduction</w:t>
            </w:r>
          </w:p>
        </w:tc>
        <w:tc>
          <w:tcPr>
            <w:tcW w:type="dxa" w:w="3360"/>
          </w:tcPr>
          <w:p>
            <w:r>
              <w:t>[Insert Count, e.g., 80 % consolidated]</w:t>
            </w:r>
          </w:p>
        </w:tc>
        <w:tc>
          <w:tcPr>
            <w:tcW w:type="dxa" w:w="3360"/>
          </w:tcPr>
          <w:p>
            <w:r>
              <w:t>Target rationalization / SLA</w:t>
            </w:r>
          </w:p>
        </w:tc>
      </w:tr>
      <w:tr>
        <w:tc>
          <w:tcPr>
            <w:tcW w:type="dxa" w:w="3360"/>
          </w:tcPr>
          <w:p>
            <w:r>
              <w:rPr>
                <w:b/>
              </w:rPr>
              <w:t>Target Cutover Downtime Window</w:t>
            </w:r>
          </w:p>
        </w:tc>
        <w:tc>
          <w:tcPr>
            <w:tcW w:type="dxa" w:w="3360"/>
          </w:tcPr>
          <w:p>
            <w:r>
              <w:t>[e.g., &lt; 15 Minutes / Near-Zero Downtime]</w:t>
            </w:r>
          </w:p>
        </w:tc>
        <w:tc>
          <w:tcPr>
            <w:tcW w:type="dxa" w:w="3360"/>
          </w:tcPr>
          <w:p>
            <w:r>
              <w:t>Rehearsed parallel run + rollback plan</w:t>
            </w:r>
          </w:p>
        </w:tc>
      </w:tr>
      <w:tr>
        <w:tc>
          <w:tcPr>
            <w:tcW w:type="dxa" w:w="3360"/>
          </w:tcPr>
          <w:p>
            <w:r>
              <w:rPr>
                <w:b/>
              </w:rPr>
              <w:t>Security, Compliance &amp; Identity</w:t>
            </w:r>
          </w:p>
        </w:tc>
        <w:tc>
          <w:tcPr>
            <w:tcW w:type="dxa" w:w="3360"/>
          </w:tcPr>
          <w:p>
            <w:r>
              <w:t>[e.g., SSO/MFA via Entra ID / Okta, Row-Level VPD]</w:t>
            </w:r>
          </w:p>
        </w:tc>
        <w:tc>
          <w:tcPr>
            <w:tcW w:type="dxa" w:w="3360"/>
          </w:tcPr>
          <w:p>
            <w:r>
              <w:t>Zero critical/high CVEs at Go-Live</w:t>
            </w:r>
          </w:p>
        </w:tc>
      </w:tr>
    </w:tbl>
    <w:p>
      <w:pPr>
        <w:pStyle w:val="Heading2"/>
      </w:pPr>
      <w:r>
        <w:rPr>
          <w:color w:val="B44C2B"/>
        </w:rPr>
        <w:t>Section 3: Mandatory Technical Scope of Work &amp; Conversion Matrix</w:t>
      </w:r>
    </w:p>
    <w:p>
      <w:pPr>
        <w:pStyle w:val="ListNumber"/>
      </w:pPr>
      <w:r>
        <w:rPr>
          <w:b/>
        </w:rPr>
        <w:t xml:space="preserve">[REQ-ARCH-01] </w:t>
      </w:r>
      <w:r>
        <w:t>Automated Phase 0 AST &amp; binary scan mapping Oracle MICROS / NCR Aloha / SQL Anywhere Edge POS + Nightly Polling Scripts artifacts directly to live Oracle dictionary metadata and profiling production data.</w:t>
      </w:r>
    </w:p>
    <w:p>
      <w:pPr>
        <w:pStyle w:val="ListNumber"/>
      </w:pPr>
      <w:r>
        <w:rPr>
          <w:b/>
        </w:rPr>
        <w:t xml:space="preserve">[REQ-ARCH-02] </w:t>
      </w:r>
      <w:r>
        <w:t>Target architecture built on Idempotent Oracle 23ai / 19c POS Sync Engine + ORA-00001 Collision Guard + APEX Cashout Audit, consolidating cloned queries into governed core SQL views with runtime Smart Filters.</w:t>
      </w:r>
    </w:p>
    <w:p>
      <w:pPr>
        <w:pStyle w:val="ListNumber"/>
      </w:pPr>
      <w:r>
        <w:rPr>
          <w:b/>
        </w:rPr>
        <w:t xml:space="preserve">[REQ-ARCH-03] </w:t>
      </w:r>
      <w:r>
        <w:t>Automated generation of full Business Requirements Documents (BRD), Technical Approach Docs, Testing Specifications, and Verified Test Results.</w:t>
      </w:r>
    </w:p>
    <w:p>
      <w:pPr>
        <w:pStyle w:val="ListNumber"/>
      </w:pPr>
      <w:r>
        <w:rPr>
          <w:b/>
        </w:rPr>
        <w:t xml:space="preserve">[REQ-ARCH-04] </w:t>
      </w:r>
      <w:r>
        <w:t>Zero-trust SSO/MFA (Entra ID / Okta) paired with database-enforced row-level security (VPD / RAS) and SQLcl Liquibase CI/CD pipelines.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2520"/>
        <w:gridCol w:w="2520"/>
        <w:gridCol w:w="2520"/>
        <w:gridCol w:w="2520"/>
      </w:tblGrid>
      <w:tr>
        <w:tc>
          <w:tcPr>
            <w:tcW w:type="dxa" w:w="2520"/>
            <w:shd w:val="clear" w:color="auto" w:fill="2C1E18"/>
          </w:tcPr>
          <w:p>
            <w:r>
              <w:rPr>
                <w:b/>
                <w:color w:val="FFFFFF"/>
                <w:sz w:val="19"/>
              </w:rPr>
              <w:t>Req ID</w:t>
            </w:r>
          </w:p>
        </w:tc>
        <w:tc>
          <w:tcPr>
            <w:tcW w:type="dxa" w:w="2520"/>
            <w:shd w:val="clear" w:color="auto" w:fill="2C1E18"/>
          </w:tcPr>
          <w:p>
            <w:r>
              <w:rPr>
                <w:b/>
                <w:color w:val="FFFFFF"/>
                <w:sz w:val="19"/>
              </w:rPr>
              <w:t>Legacy Artifact / Baseline Workload</w:t>
            </w:r>
          </w:p>
        </w:tc>
        <w:tc>
          <w:tcPr>
            <w:tcW w:type="dxa" w:w="2520"/>
            <w:shd w:val="clear" w:color="auto" w:fill="2C1E18"/>
          </w:tcPr>
          <w:p>
            <w:r>
              <w:rPr>
                <w:b/>
                <w:color w:val="FFFFFF"/>
                <w:sz w:val="19"/>
              </w:rPr>
              <w:t>Required Target Architecture</w:t>
            </w:r>
          </w:p>
        </w:tc>
        <w:tc>
          <w:tcPr>
            <w:tcW w:type="dxa" w:w="2520"/>
            <w:shd w:val="clear" w:color="auto" w:fill="2C1E18"/>
          </w:tcPr>
          <w:p>
            <w:r>
              <w:rPr>
                <w:b/>
                <w:color w:val="FFFFFF"/>
                <w:sz w:val="19"/>
              </w:rPr>
              <w:t>Engineering Method &amp; Acceptance Gate</w:t>
            </w:r>
          </w:p>
        </w:tc>
      </w:tr>
      <w:tr>
        <w:tc>
          <w:tcPr>
            <w:tcW w:type="dxa" w:w="2520"/>
          </w:tcPr>
          <w:p>
            <w:r>
              <w:rPr>
                <w:b/>
              </w:rPr>
              <w:t>REQ-01</w:t>
            </w:r>
          </w:p>
        </w:tc>
        <w:tc>
          <w:tcPr>
            <w:tcW w:type="dxa" w:w="2520"/>
          </w:tcPr>
          <w:p>
            <w:r>
              <w:t>Source Tier: Oracle MICROS / NCR Aloha / SQL Anywhere Edge POS + Nightly Polling Scripts</w:t>
            </w:r>
          </w:p>
        </w:tc>
        <w:tc>
          <w:tcPr>
            <w:tcW w:type="dxa" w:w="2520"/>
          </w:tcPr>
          <w:p>
            <w:r>
              <w:t>Idempotent Oracle 23ai / 19c POS Sync Engine + ORA-00001 Collision Guard + APEX Cashout Audit</w:t>
            </w:r>
          </w:p>
        </w:tc>
        <w:tc>
          <w:tcPr>
            <w:tcW w:type="dxa" w:w="2520"/>
          </w:tcPr>
          <w:p>
            <w:r>
              <w:t>Automated AST &amp; Metadata Uplift (85%-95%)</w:t>
            </w:r>
          </w:p>
        </w:tc>
      </w:tr>
      <w:tr>
        <w:tc>
          <w:tcPr>
            <w:tcW w:type="dxa" w:w="2520"/>
          </w:tcPr>
          <w:p>
            <w:r>
              <w:rPr>
                <w:b/>
              </w:rPr>
              <w:t>REQ-02</w:t>
            </w:r>
          </w:p>
        </w:tc>
        <w:tc>
          <w:tcPr>
            <w:tcW w:type="dxa" w:w="2520"/>
          </w:tcPr>
          <w:p>
            <w:r>
              <w:t>Primary Footprint: Active Restaurant / Retail Store Locations</w:t>
            </w:r>
          </w:p>
        </w:tc>
        <w:tc>
          <w:tcPr>
            <w:tcW w:type="dxa" w:w="2520"/>
          </w:tcPr>
          <w:p>
            <w:r>
              <w:t>Oracle APEX 24.2 Redwood UI + PL/SQL APIs</w:t>
            </w:r>
          </w:p>
        </w:tc>
        <w:tc>
          <w:tcPr>
            <w:tcW w:type="dxa" w:w="2520"/>
          </w:tcPr>
          <w:p>
            <w:r>
              <w:t>Binary-to-DB Metadata Mapping + Pilot Sprint</w:t>
            </w:r>
          </w:p>
        </w:tc>
      </w:tr>
      <w:tr>
        <w:tc>
          <w:tcPr>
            <w:tcW w:type="dxa" w:w="2520"/>
          </w:tcPr>
          <w:p>
            <w:r>
              <w:rPr>
                <w:b/>
              </w:rPr>
              <w:t>REQ-03</w:t>
            </w:r>
          </w:p>
        </w:tc>
        <w:tc>
          <w:tcPr>
            <w:tcW w:type="dxa" w:w="2520"/>
          </w:tcPr>
          <w:p>
            <w:r>
              <w:t>Workload &amp; Queries: Daily POS Check &amp; Line-Item Transactions</w:t>
            </w:r>
          </w:p>
        </w:tc>
        <w:tc>
          <w:tcPr>
            <w:tcW w:type="dxa" w:w="2520"/>
          </w:tcPr>
          <w:p>
            <w:r>
              <w:t>Canonical Core SQL Views + Runtime Smart Filters</w:t>
            </w:r>
          </w:p>
        </w:tc>
        <w:tc>
          <w:tcPr>
            <w:tcW w:type="dxa" w:w="2520"/>
          </w:tcPr>
          <w:p>
            <w:r>
              <w:t>Query Fan-Out Clustering (75%-90% Reduction)</w:t>
            </w:r>
          </w:p>
        </w:tc>
      </w:tr>
      <w:tr>
        <w:tc>
          <w:tcPr>
            <w:tcW w:type="dxa" w:w="2520"/>
          </w:tcPr>
          <w:p>
            <w:r>
              <w:rPr>
                <w:b/>
              </w:rPr>
              <w:t>REQ-04</w:t>
            </w:r>
          </w:p>
        </w:tc>
        <w:tc>
          <w:tcPr>
            <w:tcW w:type="dxa" w:w="2520"/>
          </w:tcPr>
          <w:p>
            <w:r>
              <w:t>Undocumented Legacy Business Rules &amp; QA</w:t>
            </w:r>
          </w:p>
        </w:tc>
        <w:tc>
          <w:tcPr>
            <w:tcW w:type="dxa" w:w="2520"/>
          </w:tcPr>
          <w:p>
            <w:r>
              <w:t>Auto-Generated BRD, Approach Doc, Test Specs &amp; Results</w:t>
            </w:r>
          </w:p>
        </w:tc>
        <w:tc>
          <w:tcPr>
            <w:tcW w:type="dxa" w:w="2520"/>
          </w:tcPr>
          <w:p>
            <w:r>
              <w:t>100% Automated Documentation &amp; utPLSQL / Playwright</w:t>
            </w:r>
          </w:p>
        </w:tc>
      </w:tr>
    </w:tbl>
    <w:p>
      <w:pPr>
        <w:pStyle w:val="Heading2"/>
      </w:pPr>
      <w:r>
        <w:rPr>
          <w:color w:val="B44C2B"/>
        </w:rPr>
        <w:t>Section 4: Vendor Technical Q&amp;A Questionnaire &amp; Evaluation Rubric</w:t>
      </w:r>
    </w:p>
    <w:p>
      <w:r>
        <w:t>Bidders must provide direct written responses to each question below. Evaluation committee members can grade vendor responses (0 to 10 points) using the Reference Evaluation Benchmark provided under each question.</w:t>
      </w:r>
    </w:p>
    <w:p>
      <w:r>
        <w:rPr>
          <w:b/>
        </w:rPr>
        <w:t>Vendor Question 1: What are the primary levers that control the cost of Multi-Unit POS to Oracle 23ai Sync Hub?   [Evaluator Score: ___ / 10]</w:t>
      </w:r>
    </w:p>
    <w:p>
      <w:pPr>
        <w:pStyle w:val="ListBullet"/>
      </w:pPr>
      <w:r>
        <w:rPr>
          <w:b/>
        </w:rPr>
        <w:t xml:space="preserve">Reference Evaluation Benchmark: </w:t>
      </w:r>
      <w:r>
        <w:t>Cost is controlled by five levers: (1) collapsing cloned query fan-out across daily pos check &amp; line-item transactions into canonical core SQL views, (2) percentage of business logic already in database packages vs. UI triggers, (3) production data quality profiled during Phase 0, (4) external integration/SSO count, and (5) cutover downtime requirements.</w:t>
      </w:r>
    </w:p>
    <w:p>
      <w:pPr>
        <w:pStyle w:val="ListBullet"/>
      </w:pPr>
      <w:r>
        <w:rPr>
          <w:b/>
        </w:rPr>
        <w:t xml:space="preserve">Vendor Written Response: </w:t>
      </w:r>
      <w:r>
        <w:t>[Bidder to insert concrete technical architecture and verifiable production proof here]</w:t>
      </w:r>
    </w:p>
    <w:p>
      <w:r>
        <w:rPr>
          <w:b/>
        </w:rPr>
        <w:t>Vendor Question 2: How does your tool convert binaries (.fmb, .rdf, etc.), map database metadata, and generate documentation?   [Evaluator Score: ___ / 10]</w:t>
      </w:r>
    </w:p>
    <w:p>
      <w:pPr>
        <w:pStyle w:val="ListBullet"/>
      </w:pPr>
      <w:r>
        <w:rPr>
          <w:b/>
        </w:rPr>
        <w:t xml:space="preserve">Reference Evaluation Benchmark: </w:t>
      </w:r>
      <w:r>
        <w:t>Our automated analyzer parses legacy binaries and source files, extracts every trigger, query, and UI control, cross-references them against live database dictionary metadata (ALL_TAB_COLUMNS, ALL_DEPENDENCIES), profiles actual column data distributions, and automatically generates the Business Requirements Document (BRD), Technical Approach Doc, Test Specifications, and Verified Test Results.</w:t>
      </w:r>
    </w:p>
    <w:p>
      <w:pPr>
        <w:pStyle w:val="ListBullet"/>
      </w:pPr>
      <w:r>
        <w:rPr>
          <w:b/>
        </w:rPr>
        <w:t xml:space="preserve">Vendor Written Response: </w:t>
      </w:r>
      <w:r>
        <w:t>[Bidder to insert concrete technical architecture and verifiable production proof here]</w:t>
      </w:r>
    </w:p>
    <w:p>
      <w:r>
        <w:rPr>
          <w:b/>
        </w:rPr>
        <w:t>Vendor Question 3: What does a typical project timeline look like from kickoff to production cutover?   [Evaluator Score: ___ / 10]</w:t>
      </w:r>
    </w:p>
    <w:p>
      <w:pPr>
        <w:pStyle w:val="ListBullet"/>
      </w:pPr>
      <w:r>
        <w:rPr>
          <w:b/>
        </w:rPr>
        <w:t xml:space="preserve">Reference Evaluation Benchmark: </w:t>
      </w:r>
      <w:r>
        <w:t>Projects follow four gated phases: Phase 0 (Weeks 1-2: Binary AST Scan, Data Profiling &amp; Auto-Generated BRD), Phase 1 (Weeks 3-6: Core Schema Uplift &amp; Working Pilot), Phase 2 (Weeks 7-12: Automated Conversion Sprints &amp; Test Spec Execution), and Phase 3 (Weeks 13-16: Parallel Run, Zero-Downtime Cutover &amp; 30-Day Hypercare).</w:t>
      </w:r>
    </w:p>
    <w:p>
      <w:pPr>
        <w:pStyle w:val="ListBullet"/>
      </w:pPr>
      <w:r>
        <w:rPr>
          <w:b/>
        </w:rPr>
        <w:t xml:space="preserve">Vendor Written Response: </w:t>
      </w:r>
      <w:r>
        <w:t>[Bidder to insert concrete technical architecture and verifiable production proof here]</w:t>
      </w:r>
    </w:p>
    <w:p>
      <w:r>
        <w:rPr>
          <w:b/>
        </w:rPr>
        <w:t>Vendor Question 4: How do you prevent report and query fan-out bloat, and how do you guarantee 100% customer code ownership?   [Evaluator Score: ___ / 10]</w:t>
      </w:r>
    </w:p>
    <w:p>
      <w:pPr>
        <w:pStyle w:val="ListBullet"/>
      </w:pPr>
      <w:r>
        <w:rPr>
          <w:b/>
        </w:rPr>
        <w:t xml:space="preserve">Reference Evaluation Benchmark: </w:t>
      </w:r>
      <w:r>
        <w:t>Vendor must demonstrate AST SQL clustering (collapsing 75%-90% of cloned queries into core database views with runtime predicates) and confirm 100% customer ownership of all DDL, PL/SQL, APEX, and cloud source code with zero proprietary runtime lock-in.</w:t>
      </w:r>
    </w:p>
    <w:p>
      <w:pPr>
        <w:pStyle w:val="ListBullet"/>
      </w:pPr>
      <w:r>
        <w:rPr>
          <w:b/>
        </w:rPr>
        <w:t xml:space="preserve">Vendor Written Response: </w:t>
      </w:r>
      <w:r>
        <w:t>[Bidder to insert concrete technical architecture and verifiable production proof here]</w:t>
      </w:r>
    </w:p>
    <w:p>
      <w:r>
        <w:rPr>
          <w:b/>
        </w:rPr>
        <w:t>Vendor Question 5: Describe your automated regression testing, data parity verification, and zero-downtime cutover methodology.   [Evaluator Score: ___ / 10]</w:t>
      </w:r>
    </w:p>
    <w:p>
      <w:pPr>
        <w:pStyle w:val="ListBullet"/>
      </w:pPr>
      <w:r>
        <w:rPr>
          <w:b/>
        </w:rPr>
        <w:t xml:space="preserve">Reference Evaluation Benchmark: </w:t>
      </w:r>
      <w:r>
        <w:t>Vendor must provide automated row-count and cryptographic hash reconciliation, automated unit/UI test suites (utPLSQL, Playwright), and a rehearsed cutover runbook with sub-minute rollback capability.</w:t>
      </w:r>
    </w:p>
    <w:p>
      <w:pPr>
        <w:pStyle w:val="ListBullet"/>
      </w:pPr>
      <w:r>
        <w:rPr>
          <w:b/>
        </w:rPr>
        <w:t xml:space="preserve">Vendor Written Response: </w:t>
      </w:r>
      <w:r>
        <w:t>[Bidder to insert concrete technical architecture and verifiable production proof here]</w:t>
      </w:r>
    </w:p>
    <w:p>
      <w:pPr>
        <w:pStyle w:val="Heading2"/>
      </w:pPr>
      <w:r>
        <w:rPr>
          <w:color w:val="B44C2B"/>
        </w:rPr>
        <w:t>Section 5: Commercial Milestone Pricing &amp; Evaluation Scorecard (Editable)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2520"/>
        <w:gridCol w:w="2520"/>
        <w:gridCol w:w="2520"/>
        <w:gridCol w:w="2520"/>
      </w:tblGrid>
      <w:tr>
        <w:tc>
          <w:tcPr>
            <w:tcW w:type="dxa" w:w="2520"/>
            <w:shd w:val="clear" w:color="auto" w:fill="2C1E18"/>
          </w:tcPr>
          <w:p>
            <w:r>
              <w:rPr>
                <w:b/>
                <w:color w:val="FFFFFF"/>
                <w:sz w:val="19"/>
              </w:rPr>
              <w:t>Milestone / Phase</w:t>
            </w:r>
          </w:p>
        </w:tc>
        <w:tc>
          <w:tcPr>
            <w:tcW w:type="dxa" w:w="2520"/>
            <w:shd w:val="clear" w:color="auto" w:fill="2C1E18"/>
          </w:tcPr>
          <w:p>
            <w:r>
              <w:rPr>
                <w:b/>
                <w:color w:val="FFFFFF"/>
                <w:sz w:val="19"/>
              </w:rPr>
              <w:t>Deliverable &amp; Acceptance Gate</w:t>
            </w:r>
          </w:p>
        </w:tc>
        <w:tc>
          <w:tcPr>
            <w:tcW w:type="dxa" w:w="2520"/>
            <w:shd w:val="clear" w:color="auto" w:fill="2C1E18"/>
          </w:tcPr>
          <w:p>
            <w:r>
              <w:rPr>
                <w:b/>
                <w:color w:val="FFFFFF"/>
                <w:sz w:val="19"/>
              </w:rPr>
              <w:t>Fixed Fee (USD)</w:t>
            </w:r>
          </w:p>
        </w:tc>
        <w:tc>
          <w:tcPr>
            <w:tcW w:type="dxa" w:w="2520"/>
            <w:shd w:val="clear" w:color="auto" w:fill="2C1E18"/>
          </w:tcPr>
          <w:p>
            <w:r>
              <w:rPr>
                <w:b/>
                <w:color w:val="FFFFFF"/>
                <w:sz w:val="19"/>
              </w:rPr>
              <w:t>Estimated Weeks</w:t>
            </w:r>
          </w:p>
        </w:tc>
      </w:tr>
      <w:tr>
        <w:tc>
          <w:tcPr>
            <w:tcW w:type="dxa" w:w="2520"/>
          </w:tcPr>
          <w:p>
            <w:r>
              <w:rPr>
                <w:b/>
              </w:rPr>
              <w:t>Phase 0: Discovery &amp; AST X-Ray</w:t>
            </w:r>
          </w:p>
        </w:tc>
        <w:tc>
          <w:tcPr>
            <w:tcW w:type="dxa" w:w="2520"/>
          </w:tcPr>
          <w:p>
            <w:r>
              <w:t>Verified inventory, dead-code manifest, core SQL fan-out map &amp; blueprint</w:t>
            </w:r>
          </w:p>
        </w:tc>
        <w:tc>
          <w:tcPr>
            <w:tcW w:type="dxa" w:w="2520"/>
          </w:tcPr>
          <w:p>
            <w:r>
              <w:t>$ [Insert]</w:t>
            </w:r>
          </w:p>
        </w:tc>
        <w:tc>
          <w:tcPr>
            <w:tcW w:type="dxa" w:w="2520"/>
          </w:tcPr>
          <w:p>
            <w:r>
              <w:t>[2 - 3 Weeks]</w:t>
            </w:r>
          </w:p>
        </w:tc>
      </w:tr>
      <w:tr>
        <w:tc>
          <w:tcPr>
            <w:tcW w:type="dxa" w:w="2520"/>
          </w:tcPr>
          <w:p>
            <w:r>
              <w:rPr>
                <w:b/>
              </w:rPr>
              <w:t>Phase 1: Core Schema &amp; Logic Uplift</w:t>
            </w:r>
          </w:p>
        </w:tc>
        <w:tc>
          <w:tcPr>
            <w:tcW w:type="dxa" w:w="2520"/>
          </w:tcPr>
          <w:p>
            <w:r>
              <w:t>Provisioned target stack, schema migration &amp; automated logic conversion</w:t>
            </w:r>
          </w:p>
        </w:tc>
        <w:tc>
          <w:tcPr>
            <w:tcW w:type="dxa" w:w="2520"/>
          </w:tcPr>
          <w:p>
            <w:r>
              <w:t>$ [Insert]</w:t>
            </w:r>
          </w:p>
        </w:tc>
        <w:tc>
          <w:tcPr>
            <w:tcW w:type="dxa" w:w="2520"/>
          </w:tcPr>
          <w:p>
            <w:r>
              <w:t>[4 - 8 Weeks]</w:t>
            </w:r>
          </w:p>
        </w:tc>
      </w:tr>
      <w:tr>
        <w:tc>
          <w:tcPr>
            <w:tcW w:type="dxa" w:w="2520"/>
          </w:tcPr>
          <w:p>
            <w:r>
              <w:rPr>
                <w:b/>
              </w:rPr>
              <w:t>Phase 2: UI, Reports &amp; UAT</w:t>
            </w:r>
          </w:p>
        </w:tc>
        <w:tc>
          <w:tcPr>
            <w:tcW w:type="dxa" w:w="2520"/>
          </w:tcPr>
          <w:p>
            <w:r>
              <w:t>Modernized portals/screens, runtime reports, AOP templates &amp; UAT sign-off</w:t>
            </w:r>
          </w:p>
        </w:tc>
        <w:tc>
          <w:tcPr>
            <w:tcW w:type="dxa" w:w="2520"/>
          </w:tcPr>
          <w:p>
            <w:r>
              <w:t>$ [Insert]</w:t>
            </w:r>
          </w:p>
        </w:tc>
        <w:tc>
          <w:tcPr>
            <w:tcW w:type="dxa" w:w="2520"/>
          </w:tcPr>
          <w:p>
            <w:r>
              <w:t>[3 - 6 Weeks]</w:t>
            </w:r>
          </w:p>
        </w:tc>
      </w:tr>
      <w:tr>
        <w:tc>
          <w:tcPr>
            <w:tcW w:type="dxa" w:w="2520"/>
          </w:tcPr>
          <w:p>
            <w:r>
              <w:rPr>
                <w:b/>
              </w:rPr>
              <w:t>Phase 3: Cutover &amp; Hypercare</w:t>
            </w:r>
          </w:p>
        </w:tc>
        <w:tc>
          <w:tcPr>
            <w:tcW w:type="dxa" w:w="2520"/>
          </w:tcPr>
          <w:p>
            <w:r>
              <w:t>Rehearsed cutover, reconciliation sign-off &amp; 30-day production hypercare</w:t>
            </w:r>
          </w:p>
        </w:tc>
        <w:tc>
          <w:tcPr>
            <w:tcW w:type="dxa" w:w="2520"/>
          </w:tcPr>
          <w:p>
            <w:r>
              <w:t>$ [Insert]</w:t>
            </w:r>
          </w:p>
        </w:tc>
        <w:tc>
          <w:tcPr>
            <w:tcW w:type="dxa" w:w="2520"/>
          </w:tcPr>
          <w:p>
            <w:r>
              <w:t>[2 - 3 Weeks]</w:t>
            </w:r>
          </w:p>
        </w:tc>
      </w:tr>
      <w:tr>
        <w:tc>
          <w:tcPr>
            <w:tcW w:type="dxa" w:w="2520"/>
          </w:tcPr>
          <w:p>
            <w:r>
              <w:rPr>
                <w:b/>
              </w:rPr>
              <w:t>Optional: Annual Managed Support</w:t>
            </w:r>
          </w:p>
        </w:tc>
        <w:tc>
          <w:tcPr>
            <w:tcW w:type="dxa" w:w="2520"/>
          </w:tcPr>
          <w:p>
            <w:r>
              <w:t>24x7 monitoring, patching, DBA tuning &amp; quarterly enhancements</w:t>
            </w:r>
          </w:p>
        </w:tc>
        <w:tc>
          <w:tcPr>
            <w:tcW w:type="dxa" w:w="2520"/>
          </w:tcPr>
          <w:p>
            <w:r>
              <w:t>$ [Insert/yr]</w:t>
            </w:r>
          </w:p>
        </w:tc>
        <w:tc>
          <w:tcPr>
            <w:tcW w:type="dxa" w:w="2520"/>
          </w:tcPr>
          <w:p>
            <w:r>
              <w:t>[12 Months]</w:t>
            </w:r>
          </w:p>
        </w:tc>
      </w:tr>
    </w:tbl>
    <w:sectPr w:rsidR="00FC693F" w:rsidRPr="0006063C" w:rsidSect="00034616">
      <w:headerReference w:type="default" r:id="rId9"/>
      <w:footerReference w:type="default" r:id="rId10"/>
      <w:pgSz w:w="12240" w:h="15840"/>
      <w:pgMar w:top="1080" w:right="1080" w:bottom="1080" w:left="108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t>This site is designed by Viscosity.AI  |  Editable Microsoft Word (.docx) RFP Template (VNA-RFP-032)</w:t>
    </w:r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</w:pPr>
    <w:r>
      <w:t>MODIFIABLE RFP TEMPLATE &amp; VENDOR Q&amp;A  |  VNA-RFP-032  |  https://multi-unit-pos-oracle-sync.pages.dev/</w:t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  <w:rPr>
      <w:sz w:val="17"/>
    </w:r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  <w:rPr>
      <w:sz w:val="17"/>
    </w:r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